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51DD1">
      <w:pPr>
        <w:keepNext w:val="0"/>
        <w:keepLines w:val="0"/>
        <w:pageBreakBefore w:val="0"/>
        <w:kinsoku/>
        <w:wordWrap/>
        <w:overflowPunct/>
        <w:topLinePunct w:val="0"/>
        <w:autoSpaceDE/>
        <w:autoSpaceDN/>
        <w:bidi w:val="0"/>
        <w:adjustRightInd/>
        <w:snapToGrid/>
        <w:spacing w:line="460" w:lineRule="exact"/>
        <w:ind w:left="0" w:leftChars="0" w:firstLine="640" w:firstLineChars="200"/>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附件3</w:t>
      </w:r>
    </w:p>
    <w:p w14:paraId="157AFEDF">
      <w:pPr>
        <w:keepNext w:val="0"/>
        <w:keepLines w:val="0"/>
        <w:pageBreakBefore w:val="0"/>
        <w:kinsoku/>
        <w:wordWrap/>
        <w:overflowPunct/>
        <w:topLinePunct w:val="0"/>
        <w:autoSpaceDE/>
        <w:autoSpaceDN/>
        <w:bidi w:val="0"/>
        <w:adjustRightInd/>
        <w:snapToGrid/>
        <w:spacing w:line="460" w:lineRule="exact"/>
        <w:ind w:left="0" w:leftChars="0" w:firstLine="720" w:firstLineChars="200"/>
        <w:jc w:val="center"/>
        <w:textAlignment w:val="auto"/>
        <w:rPr>
          <w:rFonts w:hint="eastAsia" w:ascii="方正小标宋简体" w:hAnsi="方正小标宋简体" w:eastAsia="方正小标宋简体" w:cs="方正小标宋简体"/>
          <w:color w:val="000000"/>
          <w:kern w:val="0"/>
          <w:sz w:val="36"/>
          <w:szCs w:val="36"/>
          <w:lang w:val="en-US" w:eastAsia="zh-CN" w:bidi="ar-SA"/>
        </w:rPr>
      </w:pPr>
      <w:r>
        <w:rPr>
          <w:rFonts w:hint="eastAsia" w:ascii="方正小标宋简体" w:hAnsi="方正小标宋简体" w:eastAsia="方正小标宋简体" w:cs="方正小标宋简体"/>
          <w:sz w:val="36"/>
          <w:szCs w:val="36"/>
          <w:lang w:val="en-US" w:eastAsia="zh-CN"/>
        </w:rPr>
        <w:t>项目采购需求</w:t>
      </w:r>
    </w:p>
    <w:p w14:paraId="4D870BDA">
      <w:pPr>
        <w:keepNext w:val="0"/>
        <w:keepLines w:val="0"/>
        <w:pageBreakBefore w:val="0"/>
        <w:widowControl/>
        <w:kinsoku/>
        <w:wordWrap/>
        <w:overflowPunct/>
        <w:topLinePunct w:val="0"/>
        <w:autoSpaceDE/>
        <w:autoSpaceDN/>
        <w:bidi w:val="0"/>
        <w:adjustRightInd/>
        <w:snapToGrid/>
        <w:spacing w:after="0" w:line="460" w:lineRule="exact"/>
        <w:ind w:firstLine="562" w:firstLineChars="200"/>
        <w:jc w:val="left"/>
        <w:textAlignment w:val="auto"/>
        <w:rPr>
          <w:rFonts w:hint="eastAsia" w:ascii="仿宋" w:hAnsi="仿宋" w:eastAsia="仿宋" w:cs="仿宋"/>
          <w:b/>
          <w:bCs/>
          <w:sz w:val="28"/>
          <w:szCs w:val="28"/>
        </w:rPr>
      </w:pPr>
      <w:r>
        <w:rPr>
          <w:rFonts w:hint="eastAsia" w:ascii="仿宋" w:hAnsi="仿宋" w:eastAsia="仿宋" w:cs="仿宋"/>
          <w:b/>
          <w:bCs/>
          <w:color w:val="000000"/>
          <w:kern w:val="0"/>
          <w:sz w:val="28"/>
          <w:szCs w:val="28"/>
          <w:lang w:val="en-US" w:eastAsia="zh-CN" w:bidi="ar-SA"/>
        </w:rPr>
        <w:t>项目1：</w:t>
      </w:r>
      <w:r>
        <w:rPr>
          <w:rFonts w:hint="eastAsia" w:ascii="仿宋" w:hAnsi="仿宋" w:eastAsia="仿宋" w:cs="仿宋"/>
          <w:b/>
          <w:bCs/>
          <w:sz w:val="28"/>
          <w:szCs w:val="28"/>
        </w:rPr>
        <w:t>生物测量仪项目采购需求</w:t>
      </w:r>
    </w:p>
    <w:p w14:paraId="47900763">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rPr>
      </w:pPr>
    </w:p>
    <w:p w14:paraId="36EF6E17">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一、项目概况</w:t>
      </w:r>
    </w:p>
    <w:p w14:paraId="7C811050">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 用途：用于眼科术前精准测量眼轴长度、角膜曲率、前房深度、白到白（角膜直径）、晶体厚度、中央角膜厚度、瞳孔直径、视轴偏心率等眼球生物参数，并计算人工晶体度数，用于白内障屈光手术、人工晶体植入术的术前规划，以及儿童屈光档案的建立。适用于康复医院眼科开展白内障手术及屈光手术的术前检查。</w:t>
      </w:r>
    </w:p>
    <w:p w14:paraId="410E0D4B">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 数量：1台</w:t>
      </w:r>
    </w:p>
    <w:p w14:paraId="32E646AB">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 售后：国内设有原厂授权维修中心，提供快速响应；每年提供定期校准及维护服务。</w:t>
      </w:r>
    </w:p>
    <w:p w14:paraId="5493F0EA">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4. 资质：交货时提供NMPA注册证、出厂合格证及配件报价清单。</w:t>
      </w:r>
    </w:p>
    <w:p w14:paraId="1DA7A046">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5. 投标文件：提供详细配置清单、技术参数响应偏离表、产品彩页及技术白皮书。</w:t>
      </w:r>
    </w:p>
    <w:p w14:paraId="071A15C3">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说明：</w:t>
      </w:r>
      <w:r>
        <w:rPr>
          <w:rFonts w:hint="eastAsia" w:ascii="仿宋" w:hAnsi="仿宋" w:eastAsia="仿宋" w:cs="仿宋"/>
          <w:sz w:val="28"/>
          <w:szCs w:val="28"/>
          <w:lang w:eastAsia="zh-CN"/>
        </w:rPr>
        <w:t>我</w:t>
      </w:r>
      <w:r>
        <w:rPr>
          <w:rFonts w:hint="eastAsia" w:ascii="仿宋" w:hAnsi="仿宋" w:eastAsia="仿宋" w:cs="仿宋"/>
          <w:sz w:val="28"/>
          <w:szCs w:val="28"/>
        </w:rPr>
        <w:t>院以白内障手术为主，重点关注扫频测量技术（测量更精准、穿透力更好）和人工晶体计算公式的全面性两项核心指标。</w:t>
      </w:r>
    </w:p>
    <w:p w14:paraId="72F64511">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lang w:val="en-US" w:eastAsia="zh-CN"/>
        </w:rPr>
      </w:pPr>
    </w:p>
    <w:p w14:paraId="44AB4A7F">
      <w:pPr>
        <w:keepNext w:val="0"/>
        <w:keepLines w:val="0"/>
        <w:pageBreakBefore w:val="0"/>
        <w:widowControl/>
        <w:kinsoku/>
        <w:wordWrap/>
        <w:overflowPunct/>
        <w:topLinePunct w:val="0"/>
        <w:autoSpaceDE/>
        <w:autoSpaceDN/>
        <w:bidi w:val="0"/>
        <w:adjustRightInd/>
        <w:snapToGrid/>
        <w:spacing w:after="0" w:line="460" w:lineRule="exact"/>
        <w:ind w:firstLine="562" w:firstLineChars="200"/>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项目2：免散瞳超广角激光扫描检眼镜项目采购需求</w:t>
      </w:r>
    </w:p>
    <w:p w14:paraId="4674D739">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一、项目概况</w:t>
      </w:r>
    </w:p>
    <w:p w14:paraId="0243ECB3">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用途：用于眼科超广角眼底成像检查，通过激光扫描技术免散瞳一次性获取超大广角视网膜图像或脉络膜图像。适用于糖尿病视网膜病变、高血压视网膜病变、视网膜裂孔及脱离、黄斑变性、青光眼、高度近视眼底病变、早产儿视网膜病变等眼底疾病的筛查、诊断与随访。设备可用于门诊、体检及大规模眼健康筛查等多种场景。</w:t>
      </w:r>
    </w:p>
    <w:p w14:paraId="6E8F93E5">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数量：1台</w:t>
      </w:r>
    </w:p>
    <w:p w14:paraId="2D1587E7">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售后：国内设有原厂授权维修中心，提供快速响应；每年提供定期校准及维护服务，全年无故障率应达到95%以上。</w:t>
      </w:r>
    </w:p>
    <w:p w14:paraId="2E0DFC7E">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 资质：交货时提供NMPA注册证、出厂合格证、报关单（若进口产品）及配件报价清单。</w:t>
      </w:r>
    </w:p>
    <w:p w14:paraId="3562BA22">
      <w:pPr>
        <w:keepNext w:val="0"/>
        <w:keepLines w:val="0"/>
        <w:pageBreakBefore w:val="0"/>
        <w:widowControl/>
        <w:numPr>
          <w:ilvl w:val="0"/>
          <w:numId w:val="0"/>
        </w:numPr>
        <w:kinsoku/>
        <w:wordWrap/>
        <w:overflowPunct/>
        <w:topLinePunct w:val="0"/>
        <w:autoSpaceDE/>
        <w:autoSpaceDN/>
        <w:bidi w:val="0"/>
        <w:adjustRightInd/>
        <w:snapToGrid/>
        <w:spacing w:after="0" w:line="460" w:lineRule="exact"/>
        <w:jc w:val="left"/>
        <w:textAlignment w:val="auto"/>
        <w:rPr>
          <w:rFonts w:hint="eastAsia" w:ascii="仿宋" w:hAnsi="仿宋" w:eastAsia="仿宋" w:cs="仿宋"/>
          <w:sz w:val="28"/>
          <w:szCs w:val="28"/>
          <w:lang w:val="en-US" w:eastAsia="zh-CN"/>
        </w:rPr>
      </w:pPr>
    </w:p>
    <w:p w14:paraId="3853EBF0">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2" w:firstLineChars="200"/>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项目3：综合验光仪项目采购需求</w:t>
      </w:r>
    </w:p>
    <w:p w14:paraId="22C75608">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一、项目概况</w:t>
      </w:r>
    </w:p>
    <w:p w14:paraId="6D782412">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用途：用于眼科对患者眼屈光状态进行主观测量与视功能检查。可开展屈光不正（近视、远视、散光、老视）测定、双眼视功能检查（隐斜视、融合功能、立体视觉等）、瞳距测量、色觉筛查等。适用于康复医院眼科、视光中心为配镜、屈光手术及视功能评估提供精准数据。</w:t>
      </w:r>
    </w:p>
    <w:p w14:paraId="0813C00D">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数量：1套</w:t>
      </w:r>
    </w:p>
    <w:p w14:paraId="38BE6026">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售后：国内设有原厂授权维修中心，提供快速响应；每年提供至少1次定期校准及维护服务。</w:t>
      </w:r>
    </w:p>
    <w:p w14:paraId="14B8D9E9">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 资质：交货时提供NMPA注册证、出厂合格证及配件报价清单；投标人为代理商的须提供《医疗器械经营许可证》或《第二类医疗器械经营备案凭证》。</w:t>
      </w:r>
    </w:p>
    <w:p w14:paraId="482AE950">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lang w:val="en-US" w:eastAsia="zh-CN"/>
        </w:rPr>
      </w:pPr>
      <w:bookmarkStart w:id="0" w:name="_GoBack"/>
      <w:bookmarkEnd w:id="0"/>
    </w:p>
    <w:p w14:paraId="48205F3B">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2" w:firstLineChars="200"/>
        <w:jc w:val="left"/>
        <w:textAlignment w:val="auto"/>
        <w:rPr>
          <w:rFonts w:hint="eastAsia" w:ascii="仿宋" w:hAnsi="仿宋" w:eastAsia="仿宋" w:cs="仿宋"/>
          <w:b/>
          <w:bCs/>
          <w:sz w:val="28"/>
          <w:szCs w:val="28"/>
          <w:lang w:val="en-US" w:eastAsia="zh-CN"/>
        </w:rPr>
      </w:pPr>
    </w:p>
    <w:p w14:paraId="676747D8">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2" w:firstLineChars="200"/>
        <w:jc w:val="left"/>
        <w:textAlignment w:val="auto"/>
        <w:rPr>
          <w:rFonts w:hint="default" w:ascii="仿宋" w:hAnsi="仿宋" w:eastAsia="仿宋" w:cs="仿宋"/>
          <w:sz w:val="28"/>
          <w:szCs w:val="28"/>
          <w:lang w:val="en-US" w:eastAsia="zh-CN"/>
        </w:rPr>
      </w:pPr>
      <w:r>
        <w:rPr>
          <w:rFonts w:hint="eastAsia" w:ascii="仿宋" w:hAnsi="仿宋" w:eastAsia="仿宋" w:cs="仿宋"/>
          <w:b/>
          <w:bCs/>
          <w:sz w:val="28"/>
          <w:szCs w:val="28"/>
          <w:lang w:val="en-US" w:eastAsia="zh-CN"/>
        </w:rPr>
        <w:t>项目4：</w:t>
      </w:r>
      <w:r>
        <w:rPr>
          <w:rFonts w:hint="default" w:ascii="仿宋" w:hAnsi="仿宋" w:eastAsia="仿宋" w:cs="仿宋"/>
          <w:sz w:val="28"/>
          <w:szCs w:val="28"/>
          <w:lang w:val="en-US" w:eastAsia="zh-CN"/>
        </w:rPr>
        <w:t>角膜地形图项目采购需求</w:t>
      </w:r>
    </w:p>
    <w:p w14:paraId="669018F5">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一、项目概况</w:t>
      </w:r>
    </w:p>
    <w:p w14:paraId="04A4DA8F">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1. 用途：用于采集和分析人眼角膜前表面形态数据，进行角膜形态学评估，辅助圆锥角膜筛查、屈光手术术前评估、角膜接触镜验配及角膜疾病诊断。</w:t>
      </w:r>
    </w:p>
    <w:p w14:paraId="1B9B5A1C">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2. 数量：1台</w:t>
      </w:r>
    </w:p>
    <w:p w14:paraId="2A69DDA1">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二</w:t>
      </w:r>
      <w:r>
        <w:rPr>
          <w:rFonts w:hint="default" w:ascii="仿宋" w:hAnsi="仿宋" w:eastAsia="仿宋" w:cs="仿宋"/>
          <w:sz w:val="28"/>
          <w:szCs w:val="28"/>
          <w:lang w:val="en-US" w:eastAsia="zh-CN"/>
        </w:rPr>
        <w:t>、质保要求</w:t>
      </w:r>
    </w:p>
    <w:p w14:paraId="7A3E774A">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1. 整机免费保修不少于3年。</w:t>
      </w:r>
    </w:p>
    <w:p w14:paraId="0389B3E0">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2. 保修期内：免收维修费、配件费、上门费、软件升级费；2小时内响应，48小时内到场维修。</w:t>
      </w:r>
    </w:p>
    <w:p w14:paraId="303B4512">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3. 保修期后：提供终身维修服务，软件终身免费升级。</w:t>
      </w:r>
    </w:p>
    <w:p w14:paraId="603A7A55">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p>
    <w:p w14:paraId="0C7E871B">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2" w:firstLineChars="200"/>
        <w:jc w:val="left"/>
        <w:textAlignment w:val="auto"/>
        <w:rPr>
          <w:rFonts w:hint="default" w:ascii="仿宋" w:hAnsi="仿宋" w:eastAsia="仿宋" w:cs="仿宋"/>
          <w:sz w:val="28"/>
          <w:szCs w:val="28"/>
          <w:lang w:val="en-US" w:eastAsia="zh-CN"/>
        </w:rPr>
      </w:pPr>
      <w:r>
        <w:rPr>
          <w:rFonts w:hint="eastAsia" w:ascii="仿宋" w:hAnsi="仿宋" w:eastAsia="仿宋" w:cs="仿宋"/>
          <w:b/>
          <w:bCs/>
          <w:sz w:val="28"/>
          <w:szCs w:val="28"/>
          <w:lang w:val="en-US" w:eastAsia="zh-CN"/>
        </w:rPr>
        <w:t>项目5：</w:t>
      </w:r>
      <w:r>
        <w:rPr>
          <w:rFonts w:hint="default" w:ascii="仿宋" w:hAnsi="仿宋" w:eastAsia="仿宋" w:cs="仿宋"/>
          <w:sz w:val="28"/>
          <w:szCs w:val="28"/>
          <w:lang w:val="en-US" w:eastAsia="zh-CN"/>
        </w:rPr>
        <w:t>视野计项目采购需求</w:t>
      </w:r>
    </w:p>
    <w:p w14:paraId="4064CD55">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一、项目概况</w:t>
      </w:r>
    </w:p>
    <w:p w14:paraId="4E543E7E">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1. 用途：用于测量人眼视野范围及敏感度，辅助青光眼、视网膜病变、视神经病变、颅内病变等眼科及神经科疾病的诊断与随访。支持静态阈值检测、动态视野检测及青光眼进展分析等功能。</w:t>
      </w:r>
    </w:p>
    <w:p w14:paraId="0A463167">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2. 数量：1台</w:t>
      </w:r>
    </w:p>
    <w:p w14:paraId="21138F25">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二</w:t>
      </w:r>
      <w:r>
        <w:rPr>
          <w:rFonts w:hint="default" w:ascii="仿宋" w:hAnsi="仿宋" w:eastAsia="仿宋" w:cs="仿宋"/>
          <w:sz w:val="28"/>
          <w:szCs w:val="28"/>
          <w:lang w:val="en-US" w:eastAsia="zh-CN"/>
        </w:rPr>
        <w:t>、质保要求</w:t>
      </w:r>
    </w:p>
    <w:p w14:paraId="0B4FBD9A">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1. 整机免费保修不少于3年。</w:t>
      </w:r>
    </w:p>
    <w:p w14:paraId="30664B2C">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2. 保修期内：免收维修费、配件费、上门费、软件升级费；2小时内响应，48小时内到场维修。</w:t>
      </w:r>
    </w:p>
    <w:p w14:paraId="3642A254">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3. 保修期后：提供终身维修服务，软件终身免费升级。</w:t>
      </w:r>
    </w:p>
    <w:p w14:paraId="2405C5F5">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p>
    <w:p w14:paraId="6CD00C2B">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2" w:firstLineChars="200"/>
        <w:jc w:val="left"/>
        <w:textAlignment w:val="auto"/>
        <w:rPr>
          <w:rFonts w:hint="default" w:ascii="仿宋" w:hAnsi="仿宋" w:eastAsia="仿宋" w:cs="仿宋"/>
          <w:sz w:val="28"/>
          <w:szCs w:val="28"/>
          <w:lang w:val="en-US" w:eastAsia="zh-CN"/>
        </w:rPr>
      </w:pPr>
      <w:r>
        <w:rPr>
          <w:rFonts w:hint="eastAsia" w:ascii="仿宋" w:hAnsi="仿宋" w:eastAsia="仿宋" w:cs="仿宋"/>
          <w:b/>
          <w:bCs/>
          <w:sz w:val="28"/>
          <w:szCs w:val="28"/>
          <w:lang w:val="en-US" w:eastAsia="zh-CN"/>
        </w:rPr>
        <w:t>项目6：</w:t>
      </w:r>
      <w:r>
        <w:rPr>
          <w:rFonts w:hint="default" w:ascii="仿宋" w:hAnsi="仿宋" w:eastAsia="仿宋" w:cs="仿宋"/>
          <w:sz w:val="28"/>
          <w:szCs w:val="28"/>
          <w:lang w:val="en-US" w:eastAsia="zh-CN"/>
        </w:rPr>
        <w:t>验光仪项目采购需求</w:t>
      </w:r>
    </w:p>
    <w:p w14:paraId="4C0D8391">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一、项目概况</w:t>
      </w:r>
    </w:p>
    <w:p w14:paraId="255402A6">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1. 用途：用于客观测量人眼屈光状态（近视、远视、散光等），为配镜、屈光手术及视功能评估提供数据。设备可与综合验光仪配合使用，将客观验光数据导入进行主观验光及双眼视功能检查。</w:t>
      </w:r>
    </w:p>
    <w:p w14:paraId="38D8C9F6">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2. 数量：1台</w:t>
      </w:r>
    </w:p>
    <w:p w14:paraId="3BA0D564">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二</w:t>
      </w:r>
      <w:r>
        <w:rPr>
          <w:rFonts w:hint="default" w:ascii="仿宋" w:hAnsi="仿宋" w:eastAsia="仿宋" w:cs="仿宋"/>
          <w:sz w:val="28"/>
          <w:szCs w:val="28"/>
          <w:lang w:val="en-US" w:eastAsia="zh-CN"/>
        </w:rPr>
        <w:t>、质保要求</w:t>
      </w:r>
    </w:p>
    <w:p w14:paraId="2924E213">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1. 整机免费保修不少于3年。</w:t>
      </w:r>
    </w:p>
    <w:p w14:paraId="4240CCC5">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2. 保修期内：免收维修费、配件费、上门费、软件升级费；2小时内响应，48小时内到场维修。</w:t>
      </w:r>
    </w:p>
    <w:p w14:paraId="6674E6A1">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3. 保修期后：提供终身维修服务，软件终身免费升级。</w:t>
      </w:r>
    </w:p>
    <w:p w14:paraId="14A4B17E">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p>
    <w:p w14:paraId="000BA179">
      <w:pPr>
        <w:keepNext w:val="0"/>
        <w:keepLines w:val="0"/>
        <w:pageBreakBefore w:val="0"/>
        <w:widowControl/>
        <w:numPr>
          <w:ilvl w:val="0"/>
          <w:numId w:val="0"/>
        </w:numPr>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EEC2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D95A6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D95A6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F233C6"/>
    <w:rsid w:val="02040273"/>
    <w:rsid w:val="036418F4"/>
    <w:rsid w:val="05736845"/>
    <w:rsid w:val="0600076D"/>
    <w:rsid w:val="082C1E8B"/>
    <w:rsid w:val="0A096DD5"/>
    <w:rsid w:val="0A614AAD"/>
    <w:rsid w:val="0AC72AEF"/>
    <w:rsid w:val="131555DD"/>
    <w:rsid w:val="14173230"/>
    <w:rsid w:val="15731D00"/>
    <w:rsid w:val="25932F21"/>
    <w:rsid w:val="27CF3DDC"/>
    <w:rsid w:val="28BF159C"/>
    <w:rsid w:val="2C892A42"/>
    <w:rsid w:val="2CC307A1"/>
    <w:rsid w:val="2D285F31"/>
    <w:rsid w:val="34D655BF"/>
    <w:rsid w:val="3783002D"/>
    <w:rsid w:val="3A490F1E"/>
    <w:rsid w:val="3A5B37F9"/>
    <w:rsid w:val="3B1D3D64"/>
    <w:rsid w:val="3EA92352"/>
    <w:rsid w:val="3F746C97"/>
    <w:rsid w:val="44F233C6"/>
    <w:rsid w:val="47C200B5"/>
    <w:rsid w:val="4D312F7D"/>
    <w:rsid w:val="4F243E07"/>
    <w:rsid w:val="50235FDE"/>
    <w:rsid w:val="50CF121A"/>
    <w:rsid w:val="6A981656"/>
    <w:rsid w:val="74EA5C7F"/>
    <w:rsid w:val="7A094B85"/>
    <w:rsid w:val="7A2A282B"/>
    <w:rsid w:val="7D285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autoRedefine/>
    <w:qFormat/>
    <w:uiPriority w:val="34"/>
    <w:pPr>
      <w:ind w:firstLine="420" w:firstLineChars="200"/>
    </w:pPr>
  </w:style>
  <w:style w:type="character" w:customStyle="1" w:styleId="9">
    <w:name w:val="NormalCharacter"/>
    <w:semiHidden/>
    <w:qFormat/>
    <w:uiPriority w:val="0"/>
    <w:rPr>
      <w:kern w:val="2"/>
      <w:sz w:val="21"/>
      <w:szCs w:val="22"/>
      <w:lang w:val="en-US" w:eastAsia="zh-CN" w:bidi="ar-SA"/>
    </w:rPr>
  </w:style>
  <w:style w:type="character" w:customStyle="1" w:styleId="10">
    <w:name w:val="font31"/>
    <w:basedOn w:val="7"/>
    <w:autoRedefine/>
    <w:qFormat/>
    <w:uiPriority w:val="0"/>
    <w:rPr>
      <w:rFonts w:hint="eastAsia" w:ascii="宋体" w:hAnsi="宋体" w:eastAsia="宋体" w:cs="宋体"/>
      <w:color w:val="000000"/>
      <w:sz w:val="22"/>
      <w:szCs w:val="22"/>
      <w:u w:val="none"/>
    </w:rPr>
  </w:style>
  <w:style w:type="character" w:customStyle="1" w:styleId="11">
    <w:name w:val="font01"/>
    <w:basedOn w:val="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3975</Words>
  <Characters>4363</Characters>
  <Lines>0</Lines>
  <Paragraphs>0</Paragraphs>
  <TotalTime>3</TotalTime>
  <ScaleCrop>false</ScaleCrop>
  <LinksUpToDate>false</LinksUpToDate>
  <CharactersWithSpaces>4690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2026-02-04T10:04:00Z</dcterms:created>
  <dc:creator>来过</dc:creator>
  <cp:lastModifiedBy>段颖鹏</cp:lastModifiedBy>
  <cp:lastPrinted>2026-06-15T01:13:00Z</cp:lastPrinted>
  <dcterms:modified xsi:type="dcterms:W3CDTF">2026-08-05T03:24:46Z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A9B5D3BC2E5F4964B21F3C5886B9811E_13</vt:lpwstr>
  </property>
  <property fmtid="{D5CDD505-2E9C-101B-9397-08002B2CF9AE}" pid="4" name="KSOTemplateDocerSaveRecord">
    <vt:lpwstr>eyJoZGlkIjoiZGE1NjY5OGQ0Yjg3MjlmN2E2MTc4NjhiMmExNGM3YzUiLCJ1c2VySWQiOiIyMzc4NzMyMDMifQ==</vt:lpwstr>
  </property>
</Properties>
</file>