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1D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157AF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项目采购需求</w:t>
      </w:r>
    </w:p>
    <w:p w14:paraId="7F5296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项目1：</w:t>
      </w:r>
    </w:p>
    <w:p w14:paraId="59555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医用空气加压氧舱（10人仓)（平底仓）</w:t>
      </w:r>
    </w:p>
    <w:p w14:paraId="37E9C0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项目概况：</w:t>
      </w:r>
    </w:p>
    <w:p w14:paraId="71AFF1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用途：各类患者的综合康复治疗，主要包括：</w:t>
      </w:r>
    </w:p>
    <w:p w14:paraId="53C1EF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（1）神经系统康复：脑卒中（缺血性/出血性）后遗症、脑外伤后综合征、缺血缺氧性脑病、脊髓损伤、周围神经损伤等引起的运动功能障碍、感觉障碍、语言/吞咽功能障碍及认知功能下降的康复。</w:t>
      </w:r>
    </w:p>
    <w:p w14:paraId="578562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（2）促进神经可塑性：通过高压氧改善脑组织氧合、减轻脑水肿、促进侧支循环建立、激活处于“缺血半暗带”的神经元，为康复训练（物理治疗、作业治疗、言语治疗等）创造更好的神经功能恢复基础。</w:t>
      </w:r>
    </w:p>
    <w:p w14:paraId="206DB7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（3）慢性缺血缺氧性疾病：如椎基底动脉供血不足、脑动脉硬化伴脑供血不足所导致的眩晕、记忆力减退、行走不稳等。</w:t>
      </w:r>
    </w:p>
    <w:p w14:paraId="54C7D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（4）创面修复与骨康复：糖尿病足、压疮（褥疮）、术后切口不愈合、放射性损伤、骨折延迟愈合或不愈合、股骨头坏死早期等。</w:t>
      </w:r>
    </w:p>
    <w:p w14:paraId="25233F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（5）感觉神经性损伤：突发性耳聋、耳鸣、面神经炎（Bell麻痹）、视神经损伤等。</w:t>
      </w:r>
    </w:p>
    <w:p w14:paraId="387F5D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（6）其他康复适应症：一氧化碳中毒后继发脑病、放射性脑病、心肺复苏后脑康复、慢性疲劳综合征、运动损伤及过度训练综合征等。</w:t>
      </w:r>
    </w:p>
    <w:p w14:paraId="053EDF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（7）支持危重症早期康复：可同时满足携带呼吸机、监护仪的危重患者（如脑外伤急性期后、气管切开术后）在舱内进行早期高压氧治疗，为后续综合康复争取时间窗口。</w:t>
      </w:r>
    </w:p>
    <w:p w14:paraId="2050A3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数量：1台（含氧舱主机及全部配套系统）</w:t>
      </w:r>
    </w:p>
    <w:p w14:paraId="0C472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二、产品要求：</w:t>
      </w:r>
    </w:p>
    <w:p w14:paraId="6483DFB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产品须为全新的、未曾使用的医用空气加压氧舱，具备NMPA（原CFDA）医疗器械注册证，且注册证上的产品名称及型号应与投标产品一致。</w:t>
      </w:r>
    </w:p>
    <w:p w14:paraId="236DF2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提供设备制造商的特种设备生产许可证（A5级固定式压力容器制造资质），设备须满足以下执行标准（不限于）：</w:t>
      </w:r>
    </w:p>
    <w:p w14:paraId="1E780AA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 12130-2020《氧舱》国家标准</w:t>
      </w:r>
    </w:p>
    <w:p w14:paraId="00B5112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TSG 24-2015《氧舱安全技术监察规程》</w:t>
      </w:r>
    </w:p>
    <w:p w14:paraId="7569078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 150-2011《压力容器》国家标准《固定式压力容器安全技术监察规程》</w:t>
      </w:r>
    </w:p>
    <w:p w14:paraId="4220478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 9706.1-2020《医用电气设备第1部分：基本安全和基本性能的通用要求》</w:t>
      </w:r>
    </w:p>
    <w:p w14:paraId="3CF18EA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 50751-2020《医用气体工程技术规范》</w:t>
      </w:r>
    </w:p>
    <w:p w14:paraId="5B9AB39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GB/T 7134-2008《浇铸型工业有机玻璃板材》</w:t>
      </w:r>
    </w:p>
    <w:p w14:paraId="38D0B66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NB/T 47013-2015《承压设备无损检测》</w:t>
      </w:r>
    </w:p>
    <w:p w14:paraId="4B51222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GB 50222-2017《建筑内部装修设计防火规范》</w:t>
      </w:r>
    </w:p>
    <w:p w14:paraId="50F65D6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舱体结构形式为一舱两室四门式10人仓（6人治疗舱+4人过渡舱）或12人仓（8人治疗舱+4人过渡舱），采用平底结构，无地下室设计，舱体总体高度≤3400mm，便于放置于地面楼层，无需特殊地基开挖。</w:t>
      </w:r>
    </w:p>
    <w:p w14:paraId="7CF7ED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三、供氧方式：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采用双路供氧设计：1.主路：与医院现有中心供氧系统对接，作为日常治疗主供氧源；2.备路：配置独立氧气汇流排（含2组×5瓶40L氧气瓶），作为备用或应急供氧源，当中心供氧压力不足或检修时自动/手动切换。</w:t>
      </w:r>
    </w:p>
    <w:p w14:paraId="0251755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四、供氧对接要求：</w:t>
      </w:r>
    </w:p>
    <w:p w14:paraId="6505780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1.负责设计并实施氧舱与医院中心供氧管道的对接方案，包括对接接口、减压装置、稳压装置、安全阀、止回阀、过滤器等全套配件。</w:t>
      </w:r>
    </w:p>
    <w:p w14:paraId="00A85BB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2.对接点位置：现场勘察后与医院协商确定，原则上在氧舱操作间内设置专用供氧接入箱，便于日常操作及紧急切断。</w:t>
      </w:r>
    </w:p>
    <w:p w14:paraId="14D3864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 对接后参数要求：</w:t>
      </w:r>
    </w:p>
    <w:p w14:paraId="3311A65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 氧舱工作压力：0.2MPa（最高）</w:t>
      </w:r>
    </w:p>
    <w:p w14:paraId="05AE8CD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 供氧入口压力需稳定在0.6~0.8MPa（高于舱压0.4~0.7MPa）</w:t>
      </w:r>
    </w:p>
    <w:p w14:paraId="085ABC3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- 如中心供氧出口压力与本要求不符，供应商须配置压力调节装置（减压或增压）进行适配。</w:t>
      </w:r>
    </w:p>
    <w:p w14:paraId="5B8CA20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4.对接必须符合GB 50751-2020《医用气体工程技术规范》及医院医用气体管理规定。</w:t>
      </w:r>
    </w:p>
    <w:p w14:paraId="4DB768A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5.须在文件中提供对接技术方案图及安全风险评估报告。</w:t>
      </w:r>
    </w:p>
    <w:p w14:paraId="376437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五、质保要求：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整机免费保修不少于3年（含舱体、控制系统、压缩机、储气罐、消防等），终身维修。</w:t>
      </w:r>
    </w:p>
    <w:p w14:paraId="727E557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0" w:firstLine="562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含现场勘察、安装调试、办理特种设备使用登记证、操作培训（含康复治疗师）、提供应急预案、软件终身免费升级等；2.提供机房及配套用房的设计、氧舱配套用房的土建工程及全部配套设施建设，确保建成后可立即投入临床使用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233C6"/>
    <w:rsid w:val="02040273"/>
    <w:rsid w:val="036418F4"/>
    <w:rsid w:val="05736845"/>
    <w:rsid w:val="0600076D"/>
    <w:rsid w:val="0A614AAD"/>
    <w:rsid w:val="0AC72AEF"/>
    <w:rsid w:val="131555DD"/>
    <w:rsid w:val="14173230"/>
    <w:rsid w:val="15731D00"/>
    <w:rsid w:val="25932F21"/>
    <w:rsid w:val="27CF3DDC"/>
    <w:rsid w:val="2C892A42"/>
    <w:rsid w:val="2D285F31"/>
    <w:rsid w:val="34D655BF"/>
    <w:rsid w:val="3783002D"/>
    <w:rsid w:val="3A490F1E"/>
    <w:rsid w:val="3EA92352"/>
    <w:rsid w:val="3F746C97"/>
    <w:rsid w:val="44F233C6"/>
    <w:rsid w:val="47C200B5"/>
    <w:rsid w:val="4D312F7D"/>
    <w:rsid w:val="50235FDE"/>
    <w:rsid w:val="7A094B85"/>
    <w:rsid w:val="7A2A282B"/>
    <w:rsid w:val="7D2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8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1638</Words>
  <Characters>1793</Characters>
  <Lines>0</Lines>
  <Paragraphs>0</Paragraphs>
  <TotalTime>11</TotalTime>
  <ScaleCrop>false</ScaleCrop>
  <LinksUpToDate>false</LinksUpToDate>
  <CharactersWithSpaces>1814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2026-02-04T10:04:00Z</dcterms:created>
  <dc:creator>来过</dc:creator>
  <cp:lastModifiedBy>段颖鹏</cp:lastModifiedBy>
  <cp:lastPrinted>2026-06-15T01:13:00Z</cp:lastPrinted>
  <dcterms:modified xsi:type="dcterms:W3CDTF">2026-06-17T00:55:04Z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A9B5D3BC2E5F4964B21F3C5886B9811E_13</vt:lpwstr>
  </property>
  <property fmtid="{D5CDD505-2E9C-101B-9397-08002B2CF9AE}" pid="4" name="KSOTemplateDocerSaveRecord">
    <vt:lpwstr>eyJoZGlkIjoiZGE1NjY5OGQ0Yjg3MjlmN2E2MTc4NjhiMmExNGM3YzUiLCJ1c2VySWQiOiIyMzc4NzMyMDMifQ==</vt:lpwstr>
  </property>
</Properties>
</file>